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193" w:rsidRPr="00B2521D" w:rsidRDefault="00023193" w:rsidP="00B2521D">
      <w:pPr>
        <w:pStyle w:val="ae"/>
        <w:spacing w:line="400" w:lineRule="exact"/>
        <w:ind w:firstLineChars="0" w:firstLine="0"/>
        <w:rPr>
          <w:rFonts w:ascii="微软雅黑" w:eastAsia="微软雅黑" w:hAnsi="微软雅黑" w:cs="宋体" w:hint="eastAsia"/>
        </w:rPr>
      </w:pPr>
    </w:p>
    <w:p w:rsidR="00023193" w:rsidRPr="00785D9F" w:rsidRDefault="00315E13" w:rsidP="00B2521D">
      <w:pPr>
        <w:pStyle w:val="ab"/>
        <w:spacing w:line="400" w:lineRule="exact"/>
        <w:rPr>
          <w:rFonts w:ascii="微软雅黑" w:eastAsia="微软雅黑" w:hAnsi="微软雅黑"/>
          <w:color w:val="FF0000"/>
          <w:sz w:val="32"/>
          <w:szCs w:val="32"/>
        </w:rPr>
      </w:pPr>
      <w:r w:rsidRPr="00785D9F">
        <w:rPr>
          <w:rFonts w:ascii="微软雅黑" w:eastAsia="微软雅黑" w:hAnsi="微软雅黑" w:hint="eastAsia"/>
          <w:color w:val="FF0000"/>
          <w:sz w:val="32"/>
          <w:szCs w:val="32"/>
        </w:rPr>
        <w:t>中华人民共和国最高人民法院</w:t>
      </w:r>
    </w:p>
    <w:p w:rsidR="00023193" w:rsidRPr="00785D9F" w:rsidRDefault="00315E13" w:rsidP="00B2521D">
      <w:pPr>
        <w:pStyle w:val="ab"/>
        <w:spacing w:line="400" w:lineRule="exact"/>
        <w:rPr>
          <w:rFonts w:ascii="微软雅黑" w:eastAsia="微软雅黑" w:hAnsi="微软雅黑"/>
          <w:color w:val="FF0000"/>
          <w:sz w:val="32"/>
          <w:szCs w:val="32"/>
        </w:rPr>
      </w:pPr>
      <w:r w:rsidRPr="00785D9F">
        <w:rPr>
          <w:rFonts w:ascii="微软雅黑" w:eastAsia="微软雅黑" w:hAnsi="微软雅黑" w:hint="eastAsia"/>
          <w:color w:val="FF0000"/>
          <w:sz w:val="32"/>
          <w:szCs w:val="32"/>
        </w:rPr>
        <w:t>公</w:t>
      </w:r>
      <w:r w:rsidRPr="00785D9F">
        <w:rPr>
          <w:rFonts w:ascii="微软雅黑" w:eastAsia="微软雅黑" w:hAnsi="微软雅黑" w:hint="eastAsia"/>
          <w:color w:val="FF0000"/>
          <w:sz w:val="32"/>
          <w:szCs w:val="32"/>
        </w:rPr>
        <w:t xml:space="preserve">    </w:t>
      </w:r>
      <w:r w:rsidRPr="00785D9F">
        <w:rPr>
          <w:rFonts w:ascii="微软雅黑" w:eastAsia="微软雅黑" w:hAnsi="微软雅黑" w:hint="eastAsia"/>
          <w:color w:val="FF0000"/>
          <w:sz w:val="32"/>
          <w:szCs w:val="32"/>
        </w:rPr>
        <w:t>告</w:t>
      </w:r>
    </w:p>
    <w:p w:rsidR="00023193" w:rsidRPr="00B2521D" w:rsidRDefault="00023193" w:rsidP="00B2521D">
      <w:pPr>
        <w:pStyle w:val="ae"/>
        <w:spacing w:line="240" w:lineRule="exact"/>
        <w:ind w:firstLine="440"/>
        <w:rPr>
          <w:rFonts w:ascii="微软雅黑" w:eastAsia="微软雅黑" w:hAnsi="微软雅黑" w:cs="宋体"/>
          <w:sz w:val="22"/>
          <w:szCs w:val="22"/>
        </w:rPr>
      </w:pPr>
    </w:p>
    <w:p w:rsidR="00023193" w:rsidRPr="00B2521D" w:rsidRDefault="00315E13" w:rsidP="00B2521D">
      <w:pPr>
        <w:pStyle w:val="a3"/>
        <w:spacing w:line="240" w:lineRule="exact"/>
        <w:ind w:firstLineChars="200" w:firstLine="440"/>
        <w:rPr>
          <w:rFonts w:ascii="微软雅黑" w:eastAsia="微软雅黑" w:hAnsi="微软雅黑" w:cs="宋体"/>
          <w:sz w:val="22"/>
          <w:szCs w:val="22"/>
        </w:rPr>
      </w:pPr>
      <w:r w:rsidRPr="00B2521D">
        <w:rPr>
          <w:rFonts w:ascii="微软雅黑" w:eastAsia="微软雅黑" w:hAnsi="微软雅黑" w:cs="宋体" w:hint="eastAsia"/>
          <w:sz w:val="22"/>
          <w:szCs w:val="22"/>
        </w:rPr>
        <w:t>《最高人民法院关于适用〈中华人民共和国人民陪审员法〉若干问题的解释》（已于</w:t>
      </w:r>
      <w:r w:rsidRPr="00B2521D">
        <w:rPr>
          <w:rFonts w:ascii="微软雅黑" w:eastAsia="微软雅黑" w:hAnsi="微软雅黑" w:cs="宋体" w:hint="eastAsia"/>
          <w:sz w:val="22"/>
          <w:szCs w:val="22"/>
        </w:rPr>
        <w:t>2019</w:t>
      </w:r>
      <w:r w:rsidRPr="00B2521D">
        <w:rPr>
          <w:rFonts w:ascii="微软雅黑" w:eastAsia="微软雅黑" w:hAnsi="微软雅黑" w:cs="宋体" w:hint="eastAsia"/>
          <w:sz w:val="22"/>
          <w:szCs w:val="22"/>
        </w:rPr>
        <w:t>年</w:t>
      </w:r>
      <w:r w:rsidRPr="00B2521D">
        <w:rPr>
          <w:rFonts w:ascii="微软雅黑" w:eastAsia="微软雅黑" w:hAnsi="微软雅黑" w:cs="宋体" w:hint="eastAsia"/>
          <w:sz w:val="22"/>
          <w:szCs w:val="22"/>
        </w:rPr>
        <w:t>2</w:t>
      </w:r>
      <w:r w:rsidRPr="00B2521D">
        <w:rPr>
          <w:rFonts w:ascii="微软雅黑" w:eastAsia="微软雅黑" w:hAnsi="微软雅黑" w:cs="宋体" w:hint="eastAsia"/>
          <w:sz w:val="22"/>
          <w:szCs w:val="22"/>
        </w:rPr>
        <w:t>月</w:t>
      </w:r>
      <w:r w:rsidRPr="00B2521D">
        <w:rPr>
          <w:rFonts w:ascii="微软雅黑" w:eastAsia="微软雅黑" w:hAnsi="微软雅黑" w:cs="宋体" w:hint="eastAsia"/>
          <w:sz w:val="22"/>
          <w:szCs w:val="22"/>
        </w:rPr>
        <w:t>18</w:t>
      </w:r>
      <w:r w:rsidRPr="00B2521D">
        <w:rPr>
          <w:rFonts w:ascii="微软雅黑" w:eastAsia="微软雅黑" w:hAnsi="微软雅黑" w:cs="宋体" w:hint="eastAsia"/>
          <w:sz w:val="22"/>
          <w:szCs w:val="22"/>
        </w:rPr>
        <w:t>日最高人民法院审判委员会第</w:t>
      </w:r>
      <w:r w:rsidRPr="00B2521D">
        <w:rPr>
          <w:rFonts w:ascii="微软雅黑" w:eastAsia="微软雅黑" w:hAnsi="微软雅黑" w:cs="宋体" w:hint="eastAsia"/>
          <w:sz w:val="22"/>
          <w:szCs w:val="22"/>
        </w:rPr>
        <w:t>1761</w:t>
      </w:r>
      <w:r w:rsidRPr="00B2521D">
        <w:rPr>
          <w:rFonts w:ascii="微软雅黑" w:eastAsia="微软雅黑" w:hAnsi="微软雅黑" w:cs="宋体" w:hint="eastAsia"/>
          <w:sz w:val="22"/>
          <w:szCs w:val="22"/>
        </w:rPr>
        <w:t>次会议通过，现予公布，自</w:t>
      </w:r>
      <w:r w:rsidRPr="00B2521D">
        <w:rPr>
          <w:rFonts w:ascii="微软雅黑" w:eastAsia="微软雅黑" w:hAnsi="微软雅黑" w:cs="宋体" w:hint="eastAsia"/>
          <w:sz w:val="22"/>
          <w:szCs w:val="22"/>
        </w:rPr>
        <w:t>2019</w:t>
      </w:r>
      <w:r w:rsidRPr="00B2521D">
        <w:rPr>
          <w:rFonts w:ascii="微软雅黑" w:eastAsia="微软雅黑" w:hAnsi="微软雅黑" w:cs="宋体" w:hint="eastAsia"/>
          <w:sz w:val="22"/>
          <w:szCs w:val="22"/>
        </w:rPr>
        <w:t>年</w:t>
      </w:r>
      <w:r w:rsidRPr="00B2521D">
        <w:rPr>
          <w:rFonts w:ascii="微软雅黑" w:eastAsia="微软雅黑" w:hAnsi="微软雅黑" w:cs="宋体" w:hint="eastAsia"/>
          <w:sz w:val="22"/>
          <w:szCs w:val="22"/>
        </w:rPr>
        <w:t>5</w:t>
      </w:r>
      <w:r w:rsidRPr="00B2521D">
        <w:rPr>
          <w:rFonts w:ascii="微软雅黑" w:eastAsia="微软雅黑" w:hAnsi="微软雅黑" w:cs="宋体" w:hint="eastAsia"/>
          <w:sz w:val="22"/>
          <w:szCs w:val="22"/>
        </w:rPr>
        <w:t>月</w:t>
      </w:r>
      <w:r w:rsidRPr="00B2521D">
        <w:rPr>
          <w:rFonts w:ascii="微软雅黑" w:eastAsia="微软雅黑" w:hAnsi="微软雅黑" w:cs="宋体" w:hint="eastAsia"/>
          <w:sz w:val="22"/>
          <w:szCs w:val="22"/>
        </w:rPr>
        <w:t>1</w:t>
      </w:r>
      <w:r w:rsidRPr="00B2521D">
        <w:rPr>
          <w:rFonts w:ascii="微软雅黑" w:eastAsia="微软雅黑" w:hAnsi="微软雅黑" w:cs="宋体" w:hint="eastAsia"/>
          <w:sz w:val="22"/>
          <w:szCs w:val="22"/>
        </w:rPr>
        <w:t>日起施行）。</w:t>
      </w:r>
    </w:p>
    <w:p w:rsidR="00023193" w:rsidRPr="00B2521D" w:rsidRDefault="00023193" w:rsidP="00B2521D">
      <w:pPr>
        <w:pStyle w:val="ae"/>
        <w:spacing w:line="240" w:lineRule="exact"/>
        <w:ind w:firstLine="440"/>
        <w:rPr>
          <w:rFonts w:ascii="微软雅黑" w:eastAsia="微软雅黑" w:hAnsi="微软雅黑" w:cs="宋体"/>
          <w:sz w:val="22"/>
          <w:szCs w:val="22"/>
        </w:rPr>
      </w:pPr>
    </w:p>
    <w:p w:rsidR="00023193" w:rsidRPr="00B2521D" w:rsidRDefault="00315E13" w:rsidP="00B2521D">
      <w:pPr>
        <w:pStyle w:val="a3"/>
        <w:spacing w:line="240" w:lineRule="exact"/>
        <w:jc w:val="right"/>
        <w:rPr>
          <w:rFonts w:ascii="微软雅黑" w:eastAsia="微软雅黑" w:hAnsi="微软雅黑" w:cs="宋体" w:hint="eastAsia"/>
          <w:sz w:val="22"/>
          <w:szCs w:val="22"/>
        </w:rPr>
      </w:pPr>
      <w:r w:rsidRPr="00B2521D">
        <w:rPr>
          <w:rFonts w:ascii="微软雅黑" w:eastAsia="微软雅黑" w:hAnsi="微软雅黑" w:cs="宋体" w:hint="eastAsia"/>
          <w:sz w:val="22"/>
          <w:szCs w:val="22"/>
        </w:rPr>
        <w:t>2019</w:t>
      </w:r>
      <w:r w:rsidRPr="00B2521D">
        <w:rPr>
          <w:rFonts w:ascii="微软雅黑" w:eastAsia="微软雅黑" w:hAnsi="微软雅黑" w:cs="宋体" w:hint="eastAsia"/>
          <w:sz w:val="22"/>
          <w:szCs w:val="22"/>
        </w:rPr>
        <w:t>年</w:t>
      </w:r>
      <w:r w:rsidRPr="00B2521D">
        <w:rPr>
          <w:rFonts w:ascii="微软雅黑" w:eastAsia="微软雅黑" w:hAnsi="微软雅黑" w:cs="宋体" w:hint="eastAsia"/>
          <w:sz w:val="22"/>
          <w:szCs w:val="22"/>
        </w:rPr>
        <w:t>4</w:t>
      </w:r>
      <w:r w:rsidRPr="00B2521D">
        <w:rPr>
          <w:rFonts w:ascii="微软雅黑" w:eastAsia="微软雅黑" w:hAnsi="微软雅黑" w:cs="宋体" w:hint="eastAsia"/>
          <w:sz w:val="22"/>
          <w:szCs w:val="22"/>
        </w:rPr>
        <w:t>月</w:t>
      </w:r>
      <w:r w:rsidRPr="00B2521D">
        <w:rPr>
          <w:rFonts w:ascii="微软雅黑" w:eastAsia="微软雅黑" w:hAnsi="微软雅黑" w:cs="宋体" w:hint="eastAsia"/>
          <w:sz w:val="22"/>
          <w:szCs w:val="22"/>
        </w:rPr>
        <w:t>24</w:t>
      </w:r>
      <w:r w:rsidRPr="00B2521D">
        <w:rPr>
          <w:rFonts w:ascii="微软雅黑" w:eastAsia="微软雅黑" w:hAnsi="微软雅黑" w:cs="宋体" w:hint="eastAsia"/>
          <w:sz w:val="22"/>
          <w:szCs w:val="22"/>
        </w:rPr>
        <w:t>日</w:t>
      </w:r>
    </w:p>
    <w:p w:rsidR="00023193" w:rsidRPr="00B2521D" w:rsidRDefault="00023193" w:rsidP="00B2521D">
      <w:pPr>
        <w:pStyle w:val="a3"/>
        <w:spacing w:line="240" w:lineRule="exact"/>
        <w:rPr>
          <w:rFonts w:ascii="微软雅黑" w:eastAsia="微软雅黑" w:hAnsi="微软雅黑" w:cs="宋体"/>
          <w:sz w:val="22"/>
          <w:szCs w:val="22"/>
        </w:rPr>
      </w:pPr>
      <w:bookmarkStart w:id="0" w:name="_GoBack"/>
      <w:bookmarkEnd w:id="0"/>
    </w:p>
    <w:p w:rsidR="00023193" w:rsidRPr="00B2521D" w:rsidRDefault="00315E13" w:rsidP="00B2521D">
      <w:pPr>
        <w:pStyle w:val="ab"/>
        <w:spacing w:line="600" w:lineRule="exact"/>
        <w:rPr>
          <w:rFonts w:ascii="微软雅黑" w:eastAsia="微软雅黑" w:hAnsi="微软雅黑"/>
          <w:b/>
          <w:bCs/>
          <w:color w:val="7030A0"/>
          <w:sz w:val="40"/>
          <w:szCs w:val="40"/>
        </w:rPr>
      </w:pPr>
      <w:r w:rsidRPr="00B2521D">
        <w:rPr>
          <w:rFonts w:ascii="微软雅黑" w:eastAsia="微软雅黑" w:hAnsi="微软雅黑" w:hint="eastAsia"/>
          <w:b/>
          <w:bCs/>
          <w:color w:val="7030A0"/>
          <w:sz w:val="40"/>
          <w:szCs w:val="40"/>
        </w:rPr>
        <w:t>最高人民法院关于适用</w:t>
      </w:r>
    </w:p>
    <w:p w:rsidR="00023193" w:rsidRPr="00B2521D" w:rsidRDefault="00315E13" w:rsidP="00B2521D">
      <w:pPr>
        <w:pStyle w:val="ab"/>
        <w:spacing w:line="600" w:lineRule="exact"/>
        <w:rPr>
          <w:rFonts w:ascii="微软雅黑" w:eastAsia="微软雅黑" w:hAnsi="微软雅黑"/>
          <w:b/>
          <w:bCs/>
          <w:color w:val="7030A0"/>
          <w:sz w:val="40"/>
          <w:szCs w:val="40"/>
        </w:rPr>
      </w:pPr>
      <w:r w:rsidRPr="00B2521D">
        <w:rPr>
          <w:rFonts w:ascii="微软雅黑" w:eastAsia="微软雅黑" w:hAnsi="微软雅黑" w:hint="eastAsia"/>
          <w:b/>
          <w:bCs/>
          <w:color w:val="7030A0"/>
          <w:sz w:val="40"/>
          <w:szCs w:val="40"/>
        </w:rPr>
        <w:t>《中华人民共和国人民陪审员法》若干问题的解释</w:t>
      </w:r>
    </w:p>
    <w:p w:rsidR="00023193" w:rsidRDefault="00023193" w:rsidP="00B2521D">
      <w:pPr>
        <w:pStyle w:val="a3"/>
        <w:spacing w:line="240" w:lineRule="exact"/>
        <w:rPr>
          <w:rFonts w:ascii="微软雅黑" w:eastAsia="微软雅黑" w:hAnsi="微软雅黑" w:cs="宋体"/>
          <w:sz w:val="22"/>
          <w:szCs w:val="22"/>
        </w:rPr>
      </w:pPr>
    </w:p>
    <w:p w:rsidR="00B2521D" w:rsidRDefault="00B2521D" w:rsidP="00B2521D">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019-05-01</w:t>
      </w:r>
    </w:p>
    <w:p w:rsidR="00B2521D" w:rsidRPr="00B2521D" w:rsidRDefault="00B2521D" w:rsidP="00B2521D">
      <w:pPr>
        <w:pStyle w:val="a3"/>
        <w:spacing w:line="240" w:lineRule="exact"/>
        <w:rPr>
          <w:rFonts w:ascii="微软雅黑" w:eastAsia="微软雅黑" w:hAnsi="微软雅黑" w:cs="宋体" w:hint="eastAsia"/>
          <w:sz w:val="22"/>
          <w:szCs w:val="22"/>
        </w:rPr>
      </w:pPr>
    </w:p>
    <w:p w:rsidR="00023193" w:rsidRPr="00B2521D" w:rsidRDefault="00315E13" w:rsidP="00B2521D">
      <w:pPr>
        <w:pStyle w:val="ad"/>
        <w:spacing w:line="240" w:lineRule="exact"/>
        <w:rPr>
          <w:rFonts w:ascii="微软雅黑" w:eastAsia="微软雅黑" w:hAnsi="微软雅黑"/>
          <w:sz w:val="22"/>
          <w:szCs w:val="22"/>
        </w:rPr>
      </w:pPr>
      <w:r w:rsidRPr="00B2521D">
        <w:rPr>
          <w:rFonts w:ascii="微软雅黑" w:eastAsia="微软雅黑" w:hAnsi="微软雅黑" w:hint="eastAsia"/>
          <w:sz w:val="22"/>
          <w:szCs w:val="22"/>
        </w:rPr>
        <w:t>法释〔</w:t>
      </w:r>
      <w:r w:rsidRPr="00B2521D">
        <w:rPr>
          <w:rFonts w:ascii="微软雅黑" w:eastAsia="微软雅黑" w:hAnsi="微软雅黑" w:hint="eastAsia"/>
          <w:sz w:val="22"/>
          <w:szCs w:val="22"/>
        </w:rPr>
        <w:t>2019</w:t>
      </w:r>
      <w:r w:rsidRPr="00B2521D">
        <w:rPr>
          <w:rFonts w:ascii="微软雅黑" w:eastAsia="微软雅黑" w:hAnsi="微软雅黑" w:hint="eastAsia"/>
          <w:sz w:val="22"/>
          <w:szCs w:val="22"/>
        </w:rPr>
        <w:t>〕</w:t>
      </w:r>
      <w:r w:rsidRPr="00B2521D">
        <w:rPr>
          <w:rFonts w:ascii="微软雅黑" w:eastAsia="微软雅黑" w:hAnsi="微软雅黑" w:hint="eastAsia"/>
          <w:sz w:val="22"/>
          <w:szCs w:val="22"/>
        </w:rPr>
        <w:t>5</w:t>
      </w:r>
      <w:r w:rsidRPr="00B2521D">
        <w:rPr>
          <w:rFonts w:ascii="微软雅黑" w:eastAsia="微软雅黑" w:hAnsi="微软雅黑" w:hint="eastAsia"/>
          <w:sz w:val="22"/>
          <w:szCs w:val="22"/>
        </w:rPr>
        <w:t>号</w:t>
      </w:r>
    </w:p>
    <w:p w:rsidR="00023193" w:rsidRPr="00B2521D" w:rsidRDefault="00023193" w:rsidP="00B2521D">
      <w:pPr>
        <w:pStyle w:val="a3"/>
        <w:spacing w:line="240" w:lineRule="exact"/>
        <w:rPr>
          <w:rFonts w:ascii="微软雅黑" w:eastAsia="微软雅黑" w:hAnsi="微软雅黑" w:cs="宋体"/>
          <w:sz w:val="22"/>
          <w:szCs w:val="22"/>
        </w:rPr>
      </w:pPr>
    </w:p>
    <w:p w:rsidR="00023193" w:rsidRPr="00B2521D" w:rsidRDefault="00315E13" w:rsidP="00B2521D">
      <w:pPr>
        <w:pStyle w:val="ac"/>
        <w:spacing w:line="240" w:lineRule="exact"/>
        <w:ind w:leftChars="200" w:left="420" w:rightChars="200" w:right="420"/>
        <w:jc w:val="center"/>
        <w:rPr>
          <w:rFonts w:ascii="微软雅黑" w:eastAsia="微软雅黑" w:hAnsi="微软雅黑"/>
          <w:sz w:val="21"/>
        </w:rPr>
      </w:pPr>
      <w:r w:rsidRPr="00B2521D">
        <w:rPr>
          <w:rFonts w:ascii="微软雅黑" w:eastAsia="微软雅黑" w:hAnsi="微软雅黑" w:hint="eastAsia"/>
          <w:sz w:val="21"/>
        </w:rPr>
        <w:t>（</w:t>
      </w:r>
      <w:r w:rsidRPr="00B2521D">
        <w:rPr>
          <w:rFonts w:ascii="微软雅黑" w:eastAsia="微软雅黑" w:hAnsi="微软雅黑" w:hint="eastAsia"/>
          <w:sz w:val="21"/>
        </w:rPr>
        <w:t>2019</w:t>
      </w:r>
      <w:r w:rsidRPr="00B2521D">
        <w:rPr>
          <w:rFonts w:ascii="微软雅黑" w:eastAsia="微软雅黑" w:hAnsi="微软雅黑" w:hint="eastAsia"/>
          <w:sz w:val="21"/>
        </w:rPr>
        <w:t>年</w:t>
      </w:r>
      <w:r w:rsidRPr="00B2521D">
        <w:rPr>
          <w:rFonts w:ascii="微软雅黑" w:eastAsia="微软雅黑" w:hAnsi="微软雅黑" w:hint="eastAsia"/>
          <w:sz w:val="21"/>
        </w:rPr>
        <w:t>2</w:t>
      </w:r>
      <w:r w:rsidRPr="00B2521D">
        <w:rPr>
          <w:rFonts w:ascii="微软雅黑" w:eastAsia="微软雅黑" w:hAnsi="微软雅黑" w:hint="eastAsia"/>
          <w:sz w:val="21"/>
        </w:rPr>
        <w:t>月</w:t>
      </w:r>
      <w:r w:rsidRPr="00B2521D">
        <w:rPr>
          <w:rFonts w:ascii="微软雅黑" w:eastAsia="微软雅黑" w:hAnsi="微软雅黑" w:hint="eastAsia"/>
          <w:sz w:val="21"/>
        </w:rPr>
        <w:t>18</w:t>
      </w:r>
      <w:r w:rsidRPr="00B2521D">
        <w:rPr>
          <w:rFonts w:ascii="微软雅黑" w:eastAsia="微软雅黑" w:hAnsi="微软雅黑" w:hint="eastAsia"/>
          <w:sz w:val="21"/>
        </w:rPr>
        <w:t>日最高人民法院审判委员会第</w:t>
      </w:r>
      <w:r w:rsidRPr="00B2521D">
        <w:rPr>
          <w:rFonts w:ascii="微软雅黑" w:eastAsia="微软雅黑" w:hAnsi="微软雅黑" w:hint="eastAsia"/>
          <w:sz w:val="21"/>
        </w:rPr>
        <w:t>1761</w:t>
      </w:r>
      <w:r w:rsidRPr="00B2521D">
        <w:rPr>
          <w:rFonts w:ascii="微软雅黑" w:eastAsia="微软雅黑" w:hAnsi="微软雅黑" w:hint="eastAsia"/>
          <w:sz w:val="21"/>
        </w:rPr>
        <w:t>次会议通过，自</w:t>
      </w:r>
      <w:r w:rsidRPr="00B2521D">
        <w:rPr>
          <w:rFonts w:ascii="微软雅黑" w:eastAsia="微软雅黑" w:hAnsi="微软雅黑" w:hint="eastAsia"/>
          <w:sz w:val="21"/>
        </w:rPr>
        <w:t>2019</w:t>
      </w:r>
      <w:r w:rsidRPr="00B2521D">
        <w:rPr>
          <w:rFonts w:ascii="微软雅黑" w:eastAsia="微软雅黑" w:hAnsi="微软雅黑" w:hint="eastAsia"/>
          <w:sz w:val="21"/>
        </w:rPr>
        <w:t>年</w:t>
      </w:r>
      <w:r w:rsidRPr="00B2521D">
        <w:rPr>
          <w:rFonts w:ascii="微软雅黑" w:eastAsia="微软雅黑" w:hAnsi="微软雅黑" w:hint="eastAsia"/>
          <w:sz w:val="21"/>
        </w:rPr>
        <w:t>5</w:t>
      </w:r>
      <w:r w:rsidRPr="00B2521D">
        <w:rPr>
          <w:rFonts w:ascii="微软雅黑" w:eastAsia="微软雅黑" w:hAnsi="微软雅黑" w:hint="eastAsia"/>
          <w:sz w:val="21"/>
        </w:rPr>
        <w:t>月</w:t>
      </w:r>
      <w:r w:rsidRPr="00B2521D">
        <w:rPr>
          <w:rFonts w:ascii="微软雅黑" w:eastAsia="微软雅黑" w:hAnsi="微软雅黑" w:hint="eastAsia"/>
          <w:sz w:val="21"/>
        </w:rPr>
        <w:t>1</w:t>
      </w:r>
      <w:r w:rsidRPr="00B2521D">
        <w:rPr>
          <w:rFonts w:ascii="微软雅黑" w:eastAsia="微软雅黑" w:hAnsi="微软雅黑" w:hint="eastAsia"/>
          <w:sz w:val="21"/>
        </w:rPr>
        <w:t>日起施行）</w:t>
      </w:r>
    </w:p>
    <w:p w:rsidR="00023193" w:rsidRPr="00B2521D" w:rsidRDefault="00023193" w:rsidP="00B2521D">
      <w:pPr>
        <w:pStyle w:val="a3"/>
        <w:spacing w:line="440" w:lineRule="exact"/>
        <w:rPr>
          <w:rFonts w:ascii="微软雅黑" w:eastAsia="微软雅黑" w:hAnsi="微软雅黑" w:cs="宋体"/>
          <w:sz w:val="24"/>
          <w:szCs w:val="24"/>
        </w:rPr>
      </w:pP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为依法保障和规范人民陪审员参加审判活动，根据《中华人民共和国人民陪审员法》等法律的规定，结合审判实际，制定本解释。</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第一条</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根据人民陪审员法第十五条、第十六条的规定，人民法院决定由人民陪审员和法官组成合议庭审判的，合议庭成员确定后，应当及时告知当事人。</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第二条</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对于人民陪审员法第十五条、第十六条规定之外的第一审普通程序案件，人民法院应当告知刑事案件被告人、民事案件原告和被告、行政案件原告，在收到通知五日内有权申</w:t>
      </w:r>
      <w:r w:rsidRPr="00B2521D">
        <w:rPr>
          <w:rFonts w:ascii="微软雅黑" w:eastAsia="微软雅黑" w:hAnsi="微软雅黑" w:cs="宋体" w:hint="eastAsia"/>
          <w:sz w:val="24"/>
          <w:szCs w:val="24"/>
        </w:rPr>
        <w:t>请由人民陪审员参加合议庭审判案件。</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人民法院接到当事人在规定期限内提交的申请后，经审查决定由人民陪审员和法官组成合议庭审判的，合议庭成员确定后，应当及时告知当事人。</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第三条</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人民法院应当在开庭七日前从人民陪审员名单中随机抽取确定人民陪审员。</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人民法院可以根据案件审判需要，从人民陪审员名单中随机抽取一定数量的候补人民陪审员，并确定递补顺序，一并告知当事人。</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因案件类型需要具有相应专业知识的人民陪审员参加合议庭审判的，可以根据具体案情，在符合专业需求的人民陪审员名单中随机抽取确定。</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第四条</w:t>
      </w:r>
      <w:r w:rsidR="00B2521D">
        <w:rPr>
          <w:rFonts w:ascii="微软雅黑" w:eastAsia="微软雅黑" w:hAnsi="微软雅黑" w:cs="宋体" w:hint="eastAsia"/>
          <w:b/>
          <w:bCs/>
          <w:sz w:val="24"/>
          <w:szCs w:val="24"/>
        </w:rPr>
        <w:t xml:space="preserve"> </w:t>
      </w:r>
      <w:r w:rsidR="00B2521D">
        <w:rPr>
          <w:rFonts w:ascii="微软雅黑" w:eastAsia="微软雅黑" w:hAnsi="微软雅黑" w:cs="宋体"/>
          <w:b/>
          <w:bCs/>
          <w:sz w:val="24"/>
          <w:szCs w:val="24"/>
        </w:rPr>
        <w:t xml:space="preserve"> </w:t>
      </w:r>
      <w:r w:rsidRPr="00B2521D">
        <w:rPr>
          <w:rFonts w:ascii="微软雅黑" w:eastAsia="微软雅黑" w:hAnsi="微软雅黑" w:cs="宋体" w:hint="eastAsia"/>
          <w:sz w:val="24"/>
          <w:szCs w:val="24"/>
        </w:rPr>
        <w:t>人民陪审员确定后，人民法院应当将参审案件案由、当事人姓名或名称、开庭地点、开庭时间等事项告知参审人民陪审员及候补人民陪审员。</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必要时，人民法院可以将参加审判活动的时间、地点等事项书面通知人民陪审员所在单位。</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第五条</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人民陪审员不参加下列案件的审理：</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（一）依照民事诉讼法适用特别程序、督促程序、公示催告程序审理的案件；</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（二）申请承认外国法院离婚判决的案件；</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（三）裁定不予受理或者不需要开庭审理的案件。</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lastRenderedPageBreak/>
        <w:t>第六条</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人民陪审员不得参与审理由其以人民调解员身份先行调解的案件。</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第七条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当事人依法有权申请人民陪审员回避。人民陪审员的回避，适用审判人员回避的法律规定。</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人民陪审员回避事由经审查成立的，人民法院应当及时确定递补人选。</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第八条</w:t>
      </w:r>
      <w:r w:rsidRPr="00B2521D">
        <w:rPr>
          <w:rFonts w:ascii="微软雅黑" w:eastAsia="微软雅黑" w:hAnsi="微软雅黑" w:cs="宋体" w:hint="eastAsia"/>
          <w:sz w:val="24"/>
          <w:szCs w:val="24"/>
        </w:rPr>
        <w:t xml:space="preserve">  </w:t>
      </w:r>
      <w:r w:rsidRPr="00B2521D">
        <w:rPr>
          <w:rFonts w:ascii="微软雅黑" w:eastAsia="微软雅黑" w:hAnsi="微软雅黑" w:cs="宋体" w:hint="eastAsia"/>
          <w:sz w:val="24"/>
          <w:szCs w:val="24"/>
        </w:rPr>
        <w:t>人民法院应当在开庭前，将相关权利和义务告知人民陪审员，并为其阅卷提供便利条件。</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第九条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七人合议庭开庭前，应当制作事实认定问题清单，根据案件具体情况，区分事实认定问题与法律适用问题，对争议事实</w:t>
      </w:r>
      <w:r w:rsidRPr="00B2521D">
        <w:rPr>
          <w:rFonts w:ascii="微软雅黑" w:eastAsia="微软雅黑" w:hAnsi="微软雅黑" w:cs="宋体" w:hint="eastAsia"/>
          <w:sz w:val="24"/>
          <w:szCs w:val="24"/>
        </w:rPr>
        <w:t>问题逐项列举，供人民陪审员在庭审时参考。事实认定问题和法律适用问题难以区分的，视为事实认定问题。</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案件审判过程中，人民陪审员依法有权参加案件调查和调解工作。</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第十一条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庭审过程中，人民陪审员依法有权向诉讼参加人发问，审判长应当提示人民陪审员围绕案件争议焦点进行发问。</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第十二条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合议庭评议案件时，先由承办法官介绍案件涉及的相关法律、证据规则，然后由人民陪审员和法官依次发表意见，审判长最后发表意见并总结合议庭意见。</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第十三条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七人合议庭评议时，审判长应当归纳和介绍需要通过评议讨论决定的案件事实认定问题，</w:t>
      </w:r>
      <w:r w:rsidRPr="00B2521D">
        <w:rPr>
          <w:rFonts w:ascii="微软雅黑" w:eastAsia="微软雅黑" w:hAnsi="微软雅黑" w:cs="宋体" w:hint="eastAsia"/>
          <w:sz w:val="24"/>
          <w:szCs w:val="24"/>
        </w:rPr>
        <w:t>并列出案件事实问题清单。</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人民陪审员全程参加合议庭评议，对于事实认定问题，由人民陪审员和法官在共同评议的基础上进行表决。对于法律适用问题，人民陪审员不参加表决，但可以发表意见，并记录在卷。</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第十四条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人民陪审员应当认真阅读评议笔录，确认无误后签名。</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第十五条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人民陪审员列席审判委员会讨论其参加审理的案件时，可以发表意见。</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第十六条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案件审结后，人民法院应将裁判文书副本及时送交参加该案审判的人民陪审员。</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第十七条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中级、基层人民法院应当保障人民陪审员均衡参审，结合本院实际情况，一般在不超过</w:t>
      </w:r>
      <w:r w:rsidRPr="00B2521D">
        <w:rPr>
          <w:rFonts w:ascii="微软雅黑" w:eastAsia="微软雅黑" w:hAnsi="微软雅黑" w:cs="宋体" w:hint="eastAsia"/>
          <w:sz w:val="24"/>
          <w:szCs w:val="24"/>
        </w:rPr>
        <w:t>30</w:t>
      </w:r>
      <w:r w:rsidRPr="00B2521D">
        <w:rPr>
          <w:rFonts w:ascii="微软雅黑" w:eastAsia="微软雅黑" w:hAnsi="微软雅黑" w:cs="宋体" w:hint="eastAsia"/>
          <w:sz w:val="24"/>
          <w:szCs w:val="24"/>
        </w:rPr>
        <w:t>件的范围内合理确</w:t>
      </w:r>
      <w:r w:rsidRPr="00B2521D">
        <w:rPr>
          <w:rFonts w:ascii="微软雅黑" w:eastAsia="微软雅黑" w:hAnsi="微软雅黑" w:cs="宋体" w:hint="eastAsia"/>
          <w:sz w:val="24"/>
          <w:szCs w:val="24"/>
        </w:rPr>
        <w:t>定每名人民陪审员年度参加审判案件的数量上限，报高级人民法院备案，并向社会公告。</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第十八条</w:t>
      </w:r>
      <w:r w:rsidRPr="00B2521D">
        <w:rPr>
          <w:rFonts w:ascii="微软雅黑" w:eastAsia="微软雅黑" w:hAnsi="微软雅黑" w:cs="宋体" w:hint="eastAsia"/>
          <w:sz w:val="24"/>
          <w:szCs w:val="24"/>
        </w:rPr>
        <w:t xml:space="preserve">  </w:t>
      </w:r>
      <w:r w:rsidRPr="00B2521D">
        <w:rPr>
          <w:rFonts w:ascii="微软雅黑" w:eastAsia="微软雅黑" w:hAnsi="微软雅黑" w:cs="宋体" w:hint="eastAsia"/>
          <w:sz w:val="24"/>
          <w:szCs w:val="24"/>
        </w:rPr>
        <w:t>人民法院应当依法规范和保障人民陪审员参加审判活动，不得安排人民陪审员从事与履行法定审判职责无关的工作。</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b/>
          <w:bCs/>
          <w:sz w:val="24"/>
          <w:szCs w:val="24"/>
        </w:rPr>
        <w:t>第十九条</w:t>
      </w:r>
      <w:r w:rsidRPr="00B2521D">
        <w:rPr>
          <w:rFonts w:ascii="微软雅黑" w:eastAsia="微软雅黑" w:hAnsi="微软雅黑" w:cs="宋体" w:hint="eastAsia"/>
          <w:sz w:val="24"/>
          <w:szCs w:val="24"/>
        </w:rPr>
        <w:t xml:space="preserve"> </w:t>
      </w:r>
      <w:r w:rsidR="00B2521D">
        <w:rPr>
          <w:rFonts w:ascii="微软雅黑" w:eastAsia="微软雅黑" w:hAnsi="微软雅黑" w:cs="宋体"/>
          <w:sz w:val="24"/>
          <w:szCs w:val="24"/>
        </w:rPr>
        <w:t xml:space="preserve"> </w:t>
      </w:r>
      <w:r w:rsidRPr="00B2521D">
        <w:rPr>
          <w:rFonts w:ascii="微软雅黑" w:eastAsia="微软雅黑" w:hAnsi="微软雅黑" w:cs="宋体" w:hint="eastAsia"/>
          <w:sz w:val="24"/>
          <w:szCs w:val="24"/>
        </w:rPr>
        <w:t>本</w:t>
      </w:r>
      <w:proofErr w:type="gramStart"/>
      <w:r w:rsidRPr="00B2521D">
        <w:rPr>
          <w:rFonts w:ascii="微软雅黑" w:eastAsia="微软雅黑" w:hAnsi="微软雅黑" w:cs="宋体" w:hint="eastAsia"/>
          <w:sz w:val="24"/>
          <w:szCs w:val="24"/>
        </w:rPr>
        <w:t>解释自</w:t>
      </w:r>
      <w:proofErr w:type="gramEnd"/>
      <w:r w:rsidRPr="00B2521D">
        <w:rPr>
          <w:rFonts w:ascii="微软雅黑" w:eastAsia="微软雅黑" w:hAnsi="微软雅黑" w:cs="宋体" w:hint="eastAsia"/>
          <w:sz w:val="24"/>
          <w:szCs w:val="24"/>
        </w:rPr>
        <w:t>2019</w:t>
      </w:r>
      <w:r w:rsidRPr="00B2521D">
        <w:rPr>
          <w:rFonts w:ascii="微软雅黑" w:eastAsia="微软雅黑" w:hAnsi="微软雅黑" w:cs="宋体" w:hint="eastAsia"/>
          <w:sz w:val="24"/>
          <w:szCs w:val="24"/>
        </w:rPr>
        <w:t>年</w:t>
      </w:r>
      <w:r w:rsidRPr="00B2521D">
        <w:rPr>
          <w:rFonts w:ascii="微软雅黑" w:eastAsia="微软雅黑" w:hAnsi="微软雅黑" w:cs="宋体" w:hint="eastAsia"/>
          <w:sz w:val="24"/>
          <w:szCs w:val="24"/>
        </w:rPr>
        <w:t>5</w:t>
      </w:r>
      <w:r w:rsidRPr="00B2521D">
        <w:rPr>
          <w:rFonts w:ascii="微软雅黑" w:eastAsia="微软雅黑" w:hAnsi="微软雅黑" w:cs="宋体" w:hint="eastAsia"/>
          <w:sz w:val="24"/>
          <w:szCs w:val="24"/>
        </w:rPr>
        <w:t>月</w:t>
      </w:r>
      <w:r w:rsidRPr="00B2521D">
        <w:rPr>
          <w:rFonts w:ascii="微软雅黑" w:eastAsia="微软雅黑" w:hAnsi="微软雅黑" w:cs="宋体" w:hint="eastAsia"/>
          <w:sz w:val="24"/>
          <w:szCs w:val="24"/>
        </w:rPr>
        <w:t>1</w:t>
      </w:r>
      <w:r w:rsidRPr="00B2521D">
        <w:rPr>
          <w:rFonts w:ascii="微软雅黑" w:eastAsia="微软雅黑" w:hAnsi="微软雅黑" w:cs="宋体" w:hint="eastAsia"/>
          <w:sz w:val="24"/>
          <w:szCs w:val="24"/>
        </w:rPr>
        <w:t>日起施行。</w:t>
      </w:r>
    </w:p>
    <w:p w:rsidR="00023193" w:rsidRPr="00B2521D" w:rsidRDefault="00315E13" w:rsidP="00B2521D">
      <w:pPr>
        <w:pStyle w:val="a3"/>
        <w:spacing w:line="440" w:lineRule="exact"/>
        <w:ind w:firstLineChars="200" w:firstLine="480"/>
        <w:rPr>
          <w:rFonts w:ascii="微软雅黑" w:eastAsia="微软雅黑" w:hAnsi="微软雅黑" w:cs="宋体"/>
          <w:sz w:val="24"/>
          <w:szCs w:val="24"/>
        </w:rPr>
      </w:pPr>
      <w:r w:rsidRPr="00B2521D">
        <w:rPr>
          <w:rFonts w:ascii="微软雅黑" w:eastAsia="微软雅黑" w:hAnsi="微软雅黑" w:cs="宋体" w:hint="eastAsia"/>
          <w:sz w:val="24"/>
          <w:szCs w:val="24"/>
        </w:rPr>
        <w:t>本解释公布施行后，最高人民法院于</w:t>
      </w:r>
      <w:r w:rsidRPr="00B2521D">
        <w:rPr>
          <w:rFonts w:ascii="微软雅黑" w:eastAsia="微软雅黑" w:hAnsi="微软雅黑" w:cs="宋体" w:hint="eastAsia"/>
          <w:sz w:val="24"/>
          <w:szCs w:val="24"/>
        </w:rPr>
        <w:t>2010</w:t>
      </w:r>
      <w:r w:rsidRPr="00B2521D">
        <w:rPr>
          <w:rFonts w:ascii="微软雅黑" w:eastAsia="微软雅黑" w:hAnsi="微软雅黑" w:cs="宋体" w:hint="eastAsia"/>
          <w:sz w:val="24"/>
          <w:szCs w:val="24"/>
        </w:rPr>
        <w:t>年</w:t>
      </w:r>
      <w:r w:rsidRPr="00B2521D">
        <w:rPr>
          <w:rFonts w:ascii="微软雅黑" w:eastAsia="微软雅黑" w:hAnsi="微软雅黑" w:cs="宋体" w:hint="eastAsia"/>
          <w:sz w:val="24"/>
          <w:szCs w:val="24"/>
        </w:rPr>
        <w:t>1</w:t>
      </w:r>
      <w:r w:rsidRPr="00B2521D">
        <w:rPr>
          <w:rFonts w:ascii="微软雅黑" w:eastAsia="微软雅黑" w:hAnsi="微软雅黑" w:cs="宋体" w:hint="eastAsia"/>
          <w:sz w:val="24"/>
          <w:szCs w:val="24"/>
        </w:rPr>
        <w:t>月</w:t>
      </w:r>
      <w:r w:rsidRPr="00B2521D">
        <w:rPr>
          <w:rFonts w:ascii="微软雅黑" w:eastAsia="微软雅黑" w:hAnsi="微软雅黑" w:cs="宋体" w:hint="eastAsia"/>
          <w:sz w:val="24"/>
          <w:szCs w:val="24"/>
        </w:rPr>
        <w:t>12</w:t>
      </w:r>
      <w:r w:rsidRPr="00B2521D">
        <w:rPr>
          <w:rFonts w:ascii="微软雅黑" w:eastAsia="微软雅黑" w:hAnsi="微软雅黑" w:cs="宋体" w:hint="eastAsia"/>
          <w:sz w:val="24"/>
          <w:szCs w:val="24"/>
        </w:rPr>
        <w:t>日发布的《最高人民法院关于人民陪审员参加审判活动若干问题的规定》同时废止。最高人民法院以前发布的司法解释与本解释不一致的，不再适用。</w:t>
      </w:r>
    </w:p>
    <w:sectPr w:rsidR="00023193" w:rsidRPr="00B2521D" w:rsidSect="00B2521D">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E13" w:rsidRDefault="00315E13">
      <w:r>
        <w:separator/>
      </w:r>
    </w:p>
  </w:endnote>
  <w:endnote w:type="continuationSeparator" w:id="0">
    <w:p w:rsidR="00315E13" w:rsidRDefault="0031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193" w:rsidRDefault="00315E13">
    <w:pPr>
      <w:pStyle w:val="a7"/>
      <w:framePr w:wrap="around" w:vAnchor="text" w:hAnchor="page" w:x="1837" w:y="-191"/>
      <w:rPr>
        <w:rStyle w:val="aa"/>
      </w:rPr>
    </w:pPr>
    <w:r>
      <w:rPr>
        <w:rStyle w:val="aa"/>
        <w:rFonts w:asciiTheme="minorEastAsia" w:eastAsiaTheme="minorEastAsia" w:hAnsiTheme="minorEastAsia" w:cstheme="minorEastAsia" w:hint="eastAsia"/>
        <w:sz w:val="28"/>
        <w:szCs w:val="28"/>
      </w:rPr>
      <w:fldChar w:fldCharType="begin"/>
    </w:r>
    <w:r>
      <w:rPr>
        <w:rStyle w:val="aa"/>
        <w:rFonts w:asciiTheme="minorEastAsia" w:eastAsiaTheme="minorEastAsia" w:hAnsiTheme="minorEastAsia" w:cstheme="minorEastAsia" w:hint="eastAsia"/>
        <w:sz w:val="28"/>
        <w:szCs w:val="28"/>
      </w:rPr>
      <w:instrText xml:space="preserve">PAGE  </w:instrText>
    </w:r>
    <w:r w:rsidR="00B2521D">
      <w:rPr>
        <w:rStyle w:val="aa"/>
        <w:rFonts w:asciiTheme="minorEastAsia" w:eastAsiaTheme="minorEastAsia" w:hAnsiTheme="minorEastAsia" w:cstheme="minorEastAsia"/>
        <w:sz w:val="28"/>
        <w:szCs w:val="28"/>
      </w:rPr>
      <w:fldChar w:fldCharType="separate"/>
    </w:r>
    <w:r w:rsidR="00B2521D">
      <w:rPr>
        <w:rStyle w:val="aa"/>
        <w:rFonts w:asciiTheme="minorEastAsia" w:eastAsiaTheme="minorEastAsia" w:hAnsiTheme="minorEastAsia" w:cstheme="minorEastAsia"/>
        <w:noProof/>
        <w:sz w:val="28"/>
        <w:szCs w:val="28"/>
      </w:rPr>
      <w:t>- 2 -</w:t>
    </w:r>
    <w:r>
      <w:rPr>
        <w:rStyle w:val="aa"/>
        <w:rFonts w:asciiTheme="minorEastAsia" w:eastAsiaTheme="minorEastAsia" w:hAnsiTheme="minorEastAsia" w:cstheme="minorEastAsia" w:hint="eastAsia"/>
        <w:sz w:val="28"/>
        <w:szCs w:val="28"/>
      </w:rPr>
      <w:fldChar w:fldCharType="end"/>
    </w:r>
  </w:p>
  <w:p w:rsidR="00023193" w:rsidRDefault="00023193">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193" w:rsidRDefault="00315E13">
    <w:pPr>
      <w:pStyle w:val="a7"/>
      <w:ind w:right="360"/>
    </w:pPr>
    <w:r>
      <w:rPr>
        <w:noProof/>
      </w:rPr>
      <mc:AlternateContent>
        <mc:Choice Requires="wps">
          <w:drawing>
            <wp:anchor distT="0" distB="0" distL="114300" distR="114300" simplePos="0" relativeHeight="251659264" behindDoc="0" locked="0" layoutInCell="1" allowOverlap="1">
              <wp:simplePos x="0" y="0"/>
              <wp:positionH relativeFrom="margin">
                <wp:posOffset>6174740</wp:posOffset>
              </wp:positionH>
              <wp:positionV relativeFrom="paragraph">
                <wp:posOffset>-139065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23193" w:rsidRDefault="00315E13">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0</w:t>
                          </w:r>
                          <w:r>
                            <w:rPr>
                              <w:rStyle w:val="aa"/>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486.2pt;margin-top:-10.9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" filled="f" stroked="f">
              <v:textbox style="mso-fit-shape-to-text:t" inset="0,0,0,0">
                <w:txbxContent>
                  <w:p w:rsidR="00023193" w:rsidRDefault="00315E13">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0</w:t>
                    </w:r>
                    <w:r>
                      <w:rPr>
                        <w:rStyle w:val="aa"/>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E13" w:rsidRDefault="00315E13">
      <w:r>
        <w:separator/>
      </w:r>
    </w:p>
  </w:footnote>
  <w:footnote w:type="continuationSeparator" w:id="0">
    <w:p w:rsidR="00315E13" w:rsidRDefault="00315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C55"/>
    <w:rsid w:val="000051BA"/>
    <w:rsid w:val="00007DC9"/>
    <w:rsid w:val="00022FF2"/>
    <w:rsid w:val="00023193"/>
    <w:rsid w:val="000246CF"/>
    <w:rsid w:val="00026B55"/>
    <w:rsid w:val="000300E0"/>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5187"/>
    <w:rsid w:val="000E56CF"/>
    <w:rsid w:val="000E6D88"/>
    <w:rsid w:val="000F150B"/>
    <w:rsid w:val="000F2196"/>
    <w:rsid w:val="000F2D91"/>
    <w:rsid w:val="00106D59"/>
    <w:rsid w:val="001211C7"/>
    <w:rsid w:val="00125415"/>
    <w:rsid w:val="00141FB6"/>
    <w:rsid w:val="00156266"/>
    <w:rsid w:val="00162880"/>
    <w:rsid w:val="0016489F"/>
    <w:rsid w:val="0016665A"/>
    <w:rsid w:val="00170A71"/>
    <w:rsid w:val="001A7520"/>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313AEE"/>
    <w:rsid w:val="00315E13"/>
    <w:rsid w:val="0031621E"/>
    <w:rsid w:val="00327650"/>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D7E4C"/>
    <w:rsid w:val="003E737D"/>
    <w:rsid w:val="003F534F"/>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4DF7"/>
    <w:rsid w:val="004C569C"/>
    <w:rsid w:val="004F5158"/>
    <w:rsid w:val="00506C84"/>
    <w:rsid w:val="005142A1"/>
    <w:rsid w:val="00517CAB"/>
    <w:rsid w:val="0053713F"/>
    <w:rsid w:val="005433C2"/>
    <w:rsid w:val="005502F2"/>
    <w:rsid w:val="00562083"/>
    <w:rsid w:val="0058350A"/>
    <w:rsid w:val="00594376"/>
    <w:rsid w:val="005A56F6"/>
    <w:rsid w:val="005A6C12"/>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85D9F"/>
    <w:rsid w:val="007A51E0"/>
    <w:rsid w:val="007A6544"/>
    <w:rsid w:val="007A7FD3"/>
    <w:rsid w:val="007C01D1"/>
    <w:rsid w:val="007C5705"/>
    <w:rsid w:val="007D13B8"/>
    <w:rsid w:val="007D77CE"/>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3A4E"/>
    <w:rsid w:val="00925F75"/>
    <w:rsid w:val="0097410F"/>
    <w:rsid w:val="00974280"/>
    <w:rsid w:val="00974393"/>
    <w:rsid w:val="0097704C"/>
    <w:rsid w:val="00986E71"/>
    <w:rsid w:val="009942EB"/>
    <w:rsid w:val="009A1862"/>
    <w:rsid w:val="009A78E1"/>
    <w:rsid w:val="009B548C"/>
    <w:rsid w:val="009D18B6"/>
    <w:rsid w:val="009E6F62"/>
    <w:rsid w:val="009E7F86"/>
    <w:rsid w:val="009F1030"/>
    <w:rsid w:val="009F1B6D"/>
    <w:rsid w:val="00A02039"/>
    <w:rsid w:val="00A04BD7"/>
    <w:rsid w:val="00A20EDD"/>
    <w:rsid w:val="00A212C7"/>
    <w:rsid w:val="00A23406"/>
    <w:rsid w:val="00A35D41"/>
    <w:rsid w:val="00A40953"/>
    <w:rsid w:val="00A459E3"/>
    <w:rsid w:val="00A571FE"/>
    <w:rsid w:val="00A636AF"/>
    <w:rsid w:val="00AA03DB"/>
    <w:rsid w:val="00AA164E"/>
    <w:rsid w:val="00AA3B2D"/>
    <w:rsid w:val="00AA7268"/>
    <w:rsid w:val="00AB0D6D"/>
    <w:rsid w:val="00AB68DD"/>
    <w:rsid w:val="00AC2B0B"/>
    <w:rsid w:val="00AD35D8"/>
    <w:rsid w:val="00AF6D19"/>
    <w:rsid w:val="00B018B8"/>
    <w:rsid w:val="00B1436F"/>
    <w:rsid w:val="00B17FDC"/>
    <w:rsid w:val="00B22148"/>
    <w:rsid w:val="00B2521D"/>
    <w:rsid w:val="00B25C4D"/>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F2167"/>
    <w:rsid w:val="00BF6AB5"/>
    <w:rsid w:val="00C03182"/>
    <w:rsid w:val="00C10C97"/>
    <w:rsid w:val="00C41CE2"/>
    <w:rsid w:val="00C452E4"/>
    <w:rsid w:val="00C53D36"/>
    <w:rsid w:val="00C57E0D"/>
    <w:rsid w:val="00C636EE"/>
    <w:rsid w:val="00C73C73"/>
    <w:rsid w:val="00C75F27"/>
    <w:rsid w:val="00C76A21"/>
    <w:rsid w:val="00C85BE4"/>
    <w:rsid w:val="00CA3B61"/>
    <w:rsid w:val="00CB05CD"/>
    <w:rsid w:val="00CB268F"/>
    <w:rsid w:val="00CD046D"/>
    <w:rsid w:val="00CD15F8"/>
    <w:rsid w:val="00CF0128"/>
    <w:rsid w:val="00CF0812"/>
    <w:rsid w:val="00CF41FE"/>
    <w:rsid w:val="00CF4321"/>
    <w:rsid w:val="00CF5E94"/>
    <w:rsid w:val="00CF7BE1"/>
    <w:rsid w:val="00D07F94"/>
    <w:rsid w:val="00D16B69"/>
    <w:rsid w:val="00D21DEB"/>
    <w:rsid w:val="00D3514F"/>
    <w:rsid w:val="00D6266A"/>
    <w:rsid w:val="00D91F48"/>
    <w:rsid w:val="00D97443"/>
    <w:rsid w:val="00DB1764"/>
    <w:rsid w:val="00DB2440"/>
    <w:rsid w:val="00DB3C8A"/>
    <w:rsid w:val="00DB5F18"/>
    <w:rsid w:val="00DC5F89"/>
    <w:rsid w:val="00DD0C51"/>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00FF690A"/>
    <w:rsid w:val="22FF7C6A"/>
    <w:rsid w:val="23C00BB2"/>
    <w:rsid w:val="52251F63"/>
    <w:rsid w:val="7A1B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07737"/>
  <w15:docId w15:val="{04320D2B-BDBB-4E75-937C-4CA58149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ab">
    <w:name w:val="标题名"/>
    <w:basedOn w:val="a3"/>
    <w:pPr>
      <w:jc w:val="center"/>
    </w:pPr>
    <w:rPr>
      <w:rFonts w:hAnsi="宋体"/>
      <w:sz w:val="44"/>
    </w:rPr>
  </w:style>
  <w:style w:type="paragraph" w:customStyle="1" w:styleId="ac">
    <w:name w:val="题注信息"/>
    <w:basedOn w:val="a3"/>
    <w:pPr>
      <w:ind w:leftChars="400" w:left="400" w:rightChars="300" w:right="630"/>
    </w:pPr>
    <w:rPr>
      <w:rFonts w:eastAsia="楷体_GB2312" w:hAnsi="宋体"/>
      <w:sz w:val="32"/>
    </w:rPr>
  </w:style>
  <w:style w:type="paragraph" w:customStyle="1" w:styleId="ad">
    <w:name w:val="文号"/>
    <w:basedOn w:val="a3"/>
    <w:qFormat/>
    <w:pPr>
      <w:jc w:val="center"/>
    </w:pPr>
    <w:rPr>
      <w:rFonts w:eastAsia="楷体_GB2312" w:hAnsi="宋体"/>
      <w:sz w:val="32"/>
    </w:rPr>
  </w:style>
  <w:style w:type="paragraph" w:customStyle="1" w:styleId="ParaCharCharCharCharCharCharChar">
    <w:name w:val="默认段落字体 Para Char Char Char Char Char Char Char"/>
    <w:basedOn w:val="a"/>
  </w:style>
  <w:style w:type="character" w:customStyle="1" w:styleId="a9">
    <w:name w:val="页眉 字符"/>
    <w:basedOn w:val="a0"/>
    <w:link w:val="a8"/>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 w:type="paragraph" w:customStyle="1" w:styleId="ae">
    <w:name w:val="正文字体"/>
    <w:basedOn w:val="a"/>
    <w:qFormat/>
    <w:pPr>
      <w:spacing w:line="560" w:lineRule="exact"/>
      <w:ind w:firstLineChars="200" w:firstLine="640"/>
    </w:pPr>
    <w:rPr>
      <w:rFonts w:ascii="仿宋_GB2312" w:eastAsia="仿宋_GB2312" w:hAnsi="仿宋_GB2312"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DDA8A-2304-4498-8FD0-E0F97055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275</Words>
  <Characters>1569</Characters>
  <Application>Microsoft Office Word</Application>
  <DocSecurity>0</DocSecurity>
  <Lines>13</Lines>
  <Paragraphs>3</Paragraphs>
  <ScaleCrop>false</ScaleCrop>
  <Company>Lenovo (Beijing) Limited</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cp:revision>
  <cp:lastPrinted>2014-04-03T09:04:00Z</cp:lastPrinted>
  <dcterms:created xsi:type="dcterms:W3CDTF">2019-04-19T02:33:00Z</dcterms:created>
  <dcterms:modified xsi:type="dcterms:W3CDTF">2025-09-18T09:05:00Z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